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48287307" w14:textId="5FE7FAFE" w:rsidR="001B5A44" w:rsidRDefault="00F15F0B">
      <w:r>
        <w:rPr>
          <w:rFonts w:hint="eastAsia"/>
        </w:rPr>
        <w:t>釋經學第二講講義</w:t>
      </w:r>
    </w:p>
    <w:p w14:paraId="270D8C1D" w14:textId="19CFEF67" w:rsidR="00F15F0B" w:rsidRPr="00F15F0B" w:rsidRDefault="00F15F0B">
      <w:pPr>
        <w:rPr>
          <w:b/>
          <w:bCs/>
        </w:rPr>
      </w:pPr>
      <w:r w:rsidRPr="00F15F0B">
        <w:rPr>
          <w:rFonts w:hint="eastAsia"/>
          <w:b/>
          <w:bCs/>
        </w:rPr>
        <w:t>釋經的歷史</w:t>
      </w:r>
    </w:p>
    <w:p w14:paraId="21A3425B" w14:textId="0BAB57D8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一、</w:t>
      </w:r>
      <w:r w:rsidR="004F4F8E" w:rsidRPr="004F4F8E">
        <w:rPr>
          <w:rFonts w:asciiTheme="minorEastAsia" w:hAnsiTheme="minorEastAsia" w:cs="PingFang TC" w:hint="eastAsia"/>
          <w:b/>
          <w:kern w:val="0"/>
          <w14:ligatures w14:val="none"/>
        </w:rPr>
        <w:t>引</w:t>
      </w: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言</w:t>
      </w:r>
    </w:p>
    <w:p w14:paraId="0F3556AF" w14:textId="77777777" w:rsidR="00F15F0B" w:rsidRPr="00F15F0B" w:rsidRDefault="00F15F0B" w:rsidP="00F15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如何理解《雅歌》</w:t>
      </w:r>
      <w:r w:rsidRPr="00F15F0B">
        <w:rPr>
          <w:rFonts w:asciiTheme="minorEastAsia" w:hAnsiTheme="minorEastAsia" w:cs="PingFang TC"/>
          <w:kern w:val="0"/>
          <w14:ligatures w14:val="none"/>
        </w:rPr>
        <w:t>？</w:t>
      </w:r>
    </w:p>
    <w:p w14:paraId="0C4B1ED7" w14:textId="77777777" w:rsidR="00F15F0B" w:rsidRPr="00F15F0B" w:rsidRDefault="00F15F0B" w:rsidP="00F15F0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字面上的愛情詩歌</w:t>
      </w:r>
      <w:r w:rsidRPr="00F15F0B">
        <w:rPr>
          <w:rFonts w:asciiTheme="minorEastAsia" w:hAnsiTheme="minorEastAsia" w:cs="Times New Roman"/>
          <w:kern w:val="0"/>
          <w14:ligatures w14:val="none"/>
        </w:rPr>
        <w:t xml:space="preserve"> vs. 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象徵基督與教會之</w:t>
      </w:r>
      <w:r w:rsidRPr="00F15F0B">
        <w:rPr>
          <w:rFonts w:asciiTheme="minorEastAsia" w:hAnsiTheme="minorEastAsia" w:cs="PingFang TC"/>
          <w:kern w:val="0"/>
          <w14:ligatures w14:val="none"/>
        </w:rPr>
        <w:t>愛</w:t>
      </w:r>
    </w:p>
    <w:p w14:paraId="38EAD87A" w14:textId="77777777" w:rsidR="00F15F0B" w:rsidRPr="00F15F0B" w:rsidRDefault="00F15F0B" w:rsidP="00F15F0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如何面對其中性愛相關的經文描述</w:t>
      </w:r>
      <w:r w:rsidRPr="00F15F0B">
        <w:rPr>
          <w:rFonts w:asciiTheme="minorEastAsia" w:hAnsiTheme="minorEastAsia" w:cs="PingFang TC"/>
          <w:kern w:val="0"/>
          <w14:ligatures w14:val="none"/>
        </w:rPr>
        <w:t>？</w:t>
      </w:r>
    </w:p>
    <w:p w14:paraId="4B6729CE" w14:textId="29F46EC8" w:rsidR="00F15F0B" w:rsidRPr="00F15F0B" w:rsidRDefault="00F15F0B" w:rsidP="00F15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問題的核心：</w:t>
      </w:r>
      <w:r w:rsidRPr="004F4F8E">
        <w:rPr>
          <w:rFonts w:asciiTheme="minorEastAsia" w:hAnsiTheme="minorEastAsia" w:cs="PingFang TC" w:hint="eastAsia"/>
          <w:kern w:val="0"/>
          <w14:ligatures w14:val="none"/>
        </w:rPr>
        <w:t>字面解經</w:t>
      </w:r>
      <w:r w:rsidRPr="004F4F8E">
        <w:rPr>
          <w:rFonts w:asciiTheme="minorEastAsia" w:hAnsiTheme="minorEastAsia" w:cs="Times New Roman"/>
          <w:kern w:val="0"/>
          <w14:ligatures w14:val="none"/>
        </w:rPr>
        <w:t xml:space="preserve"> vs. </w:t>
      </w:r>
      <w:r w:rsidRPr="004F4F8E">
        <w:rPr>
          <w:rFonts w:asciiTheme="minorEastAsia" w:hAnsiTheme="minorEastAsia" w:cs="PingFang TC" w:hint="eastAsia"/>
          <w:kern w:val="0"/>
          <w14:ligatures w14:val="none"/>
        </w:rPr>
        <w:t>寓意解</w:t>
      </w:r>
      <w:r w:rsidRPr="004F4F8E">
        <w:rPr>
          <w:rFonts w:asciiTheme="minorEastAsia" w:hAnsiTheme="minorEastAsia" w:cs="PingFang TC"/>
          <w:kern w:val="0"/>
          <w14:ligatures w14:val="none"/>
        </w:rPr>
        <w:t>經</w:t>
      </w:r>
    </w:p>
    <w:p w14:paraId="4FBB8E2A" w14:textId="77777777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二、斐羅與寓意解經的興起（主前一世紀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）</w:t>
      </w:r>
    </w:p>
    <w:p w14:paraId="6949C24A" w14:textId="77777777" w:rsidR="00F15F0B" w:rsidRPr="00F15F0B" w:rsidRDefault="00F15F0B" w:rsidP="00F15F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時間與地點背景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4DAF7357" w14:textId="77777777" w:rsidR="00F15F0B" w:rsidRPr="00F15F0B" w:rsidRDefault="00F15F0B" w:rsidP="00F15F0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主前一世紀的埃及亞歷山大</w:t>
      </w:r>
      <w:r w:rsidRPr="00F15F0B">
        <w:rPr>
          <w:rFonts w:asciiTheme="minorEastAsia" w:hAnsiTheme="minorEastAsia" w:cs="PingFang TC"/>
          <w:kern w:val="0"/>
          <w14:ligatures w14:val="none"/>
        </w:rPr>
        <w:t>港</w:t>
      </w:r>
    </w:p>
    <w:p w14:paraId="5EE89E01" w14:textId="77777777" w:rsidR="00F15F0B" w:rsidRPr="00F15F0B" w:rsidRDefault="00F15F0B" w:rsidP="00F15F0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高度希臘化城市，柏拉圖思想（理念</w:t>
      </w:r>
      <w:r w:rsidRPr="00F15F0B">
        <w:rPr>
          <w:rFonts w:asciiTheme="minorEastAsia" w:hAnsiTheme="minorEastAsia" w:cs="Times New Roman"/>
          <w:kern w:val="0"/>
          <w14:ligatures w14:val="none"/>
        </w:rPr>
        <w:t xml:space="preserve"> vs. 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感官世界）盛</w:t>
      </w:r>
      <w:r w:rsidRPr="00F15F0B">
        <w:rPr>
          <w:rFonts w:asciiTheme="minorEastAsia" w:hAnsiTheme="minorEastAsia" w:cs="PingFang TC"/>
          <w:kern w:val="0"/>
          <w14:ligatures w14:val="none"/>
        </w:rPr>
        <w:t>行</w:t>
      </w:r>
    </w:p>
    <w:p w14:paraId="1D027E8E" w14:textId="77777777" w:rsidR="00F15F0B" w:rsidRPr="00F15F0B" w:rsidRDefault="00F15F0B" w:rsidP="00F15F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斐羅面臨的張力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03BDE089" w14:textId="77777777" w:rsidR="00F15F0B" w:rsidRPr="00F15F0B" w:rsidRDefault="00F15F0B" w:rsidP="00F15F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《創世記》</w:t>
      </w:r>
      <w:r w:rsidRPr="00F15F0B">
        <w:rPr>
          <w:rFonts w:asciiTheme="minorEastAsia" w:hAnsiTheme="minorEastAsia" w:cs="Times New Roman"/>
          <w:kern w:val="0"/>
          <w14:ligatures w14:val="none"/>
        </w:rPr>
        <w:t>1:27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：「神照自己的形象造人</w:t>
      </w:r>
      <w:r w:rsidRPr="00F15F0B">
        <w:rPr>
          <w:rFonts w:asciiTheme="minorEastAsia" w:hAnsiTheme="minorEastAsia" w:cs="PingFang TC"/>
          <w:kern w:val="0"/>
          <w14:ligatures w14:val="none"/>
        </w:rPr>
        <w:t>」</w:t>
      </w:r>
    </w:p>
    <w:p w14:paraId="265B9E2B" w14:textId="77777777" w:rsidR="00F15F0B" w:rsidRPr="00F15F0B" w:rsidRDefault="00F15F0B" w:rsidP="00F15F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柏拉圖思想下的疑問：神是否有形體</w:t>
      </w:r>
      <w:r w:rsidRPr="00F15F0B">
        <w:rPr>
          <w:rFonts w:asciiTheme="minorEastAsia" w:hAnsiTheme="minorEastAsia" w:cs="PingFang TC"/>
          <w:kern w:val="0"/>
          <w14:ligatures w14:val="none"/>
        </w:rPr>
        <w:t>？</w:t>
      </w:r>
    </w:p>
    <w:p w14:paraId="23CFAC84" w14:textId="77777777" w:rsidR="00F15F0B" w:rsidRPr="00F15F0B" w:rsidRDefault="00F15F0B" w:rsidP="00F15F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斐羅的寓意解經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711A1612" w14:textId="7DD9E541" w:rsidR="00F15F0B" w:rsidRPr="00F15F0B" w:rsidRDefault="00F15F0B" w:rsidP="00F15F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「神的形象」</w:t>
      </w:r>
      <w:r w:rsidR="00EB3F2B" w:rsidRPr="00EB3F2B">
        <w:rPr>
          <w:rFonts w:asciiTheme="minorEastAsia" w:hAnsiTheme="minorEastAsia" w:cs="PingFang TC"/>
          <w:kern w:val="0"/>
          <w:lang w:val="en-US"/>
          <w14:ligatures w14:val="none"/>
        </w:rPr>
        <w:sym w:font="Wingdings" w:char="F0E0"/>
      </w:r>
      <w:r w:rsidR="00EB3F2B">
        <w:rPr>
          <w:rFonts w:asciiTheme="minorEastAsia" w:hAnsiTheme="minorEastAsia" w:cs="PingFang TC"/>
          <w:kern w:val="0"/>
          <w:lang w:val="en-US"/>
          <w14:ligatures w14:val="none"/>
        </w:rPr>
        <w:t xml:space="preserve"> logos</w:t>
      </w:r>
      <w:r w:rsidR="00EB3F2B">
        <w:rPr>
          <w:rFonts w:asciiTheme="minorEastAsia" w:hAnsiTheme="minorEastAsia" w:cs="PingFang TC" w:hint="eastAsia"/>
          <w:kern w:val="0"/>
          <w:lang w:val="en-US"/>
          <w14:ligatures w14:val="none"/>
        </w:rPr>
        <w:t>，</w:t>
      </w:r>
      <w:r w:rsidR="00EB3F2B">
        <w:rPr>
          <w:rFonts w:hint="eastAsia"/>
        </w:rPr>
        <w:t>指著</w:t>
      </w:r>
      <w:r w:rsidR="00EB3F2B" w:rsidRPr="009A340B">
        <w:rPr>
          <w:rFonts w:hint="eastAsia"/>
        </w:rPr>
        <w:t>神內在的</w:t>
      </w:r>
      <w:r w:rsidR="00EB3F2B">
        <w:rPr>
          <w:rFonts w:hint="eastAsia"/>
        </w:rPr>
        <w:t>完美</w:t>
      </w:r>
      <w:r w:rsidR="00EB3F2B" w:rsidRPr="009A340B">
        <w:rPr>
          <w:rFonts w:hint="eastAsia"/>
        </w:rPr>
        <w:t>理性與秩序原則</w:t>
      </w:r>
    </w:p>
    <w:p w14:paraId="10CDB3BE" w14:textId="40B11A4A" w:rsidR="00F15F0B" w:rsidRPr="00F15F0B" w:rsidRDefault="00EB3F2B" w:rsidP="00F15F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14:ligatures w14:val="none"/>
        </w:rPr>
      </w:pPr>
      <w:r>
        <w:rPr>
          <w:rFonts w:asciiTheme="minorEastAsia" w:hAnsiTheme="minorEastAsia" w:cs="PingFang TC" w:hint="eastAsia"/>
          <w:kern w:val="0"/>
          <w14:ligatures w14:val="none"/>
        </w:rPr>
        <w:t>人有理性靈魂，因是按著這個</w:t>
      </w:r>
      <w:r>
        <w:rPr>
          <w:rFonts w:asciiTheme="minorEastAsia" w:hAnsiTheme="minorEastAsia" w:cs="PingFang TC"/>
          <w:kern w:val="0"/>
          <w:lang w:val="en-US"/>
          <w14:ligatures w14:val="none"/>
        </w:rPr>
        <w:t>logos</w:t>
      </w:r>
      <w:r>
        <w:rPr>
          <w:rFonts w:asciiTheme="minorEastAsia" w:hAnsiTheme="minorEastAsia" w:cs="PingFang TC" w:hint="eastAsia"/>
          <w:kern w:val="0"/>
          <w:lang w:val="en-US"/>
          <w14:ligatures w14:val="none"/>
        </w:rPr>
        <w:t>所造的，反映</w:t>
      </w:r>
      <w:r>
        <w:rPr>
          <w:rFonts w:asciiTheme="minorEastAsia" w:hAnsiTheme="minorEastAsia" w:cs="PingFang TC"/>
          <w:kern w:val="0"/>
          <w:lang w:val="en-US"/>
          <w14:ligatures w14:val="none"/>
        </w:rPr>
        <w:t>logos</w:t>
      </w:r>
      <w:r>
        <w:rPr>
          <w:rFonts w:asciiTheme="minorEastAsia" w:hAnsiTheme="minorEastAsia" w:cs="PingFang TC" w:hint="eastAsia"/>
          <w:kern w:val="0"/>
          <w:lang w:val="en-US"/>
          <w14:ligatures w14:val="none"/>
        </w:rPr>
        <w:t>的一種摹本</w:t>
      </w:r>
    </w:p>
    <w:p w14:paraId="36E4F3F1" w14:textId="328AD311" w:rsidR="00F15F0B" w:rsidRPr="00EB3F2B" w:rsidRDefault="00F15F0B" w:rsidP="00EB3F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評價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2E299A78" w14:textId="27F222FF" w:rsidR="00F15F0B" w:rsidRPr="00F15F0B" w:rsidRDefault="00F15F0B" w:rsidP="00F15F0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寓意解經</w:t>
      </w:r>
      <w:r w:rsidR="00137A8C">
        <w:rPr>
          <w:rFonts w:asciiTheme="minorEastAsia" w:hAnsiTheme="minorEastAsia" w:cs="PingFang TC" w:hint="eastAsia"/>
          <w:kern w:val="0"/>
          <w14:ligatures w14:val="none"/>
        </w:rPr>
        <w:t>是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作為與外邦文化對話</w:t>
      </w:r>
      <w:r w:rsidR="00137A8C">
        <w:rPr>
          <w:rFonts w:asciiTheme="minorEastAsia" w:hAnsiTheme="minorEastAsia" w:cs="PingFang TC" w:hint="eastAsia"/>
          <w:kern w:val="0"/>
          <w14:ligatures w14:val="none"/>
        </w:rPr>
        <w:t>的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路</w:t>
      </w:r>
      <w:r w:rsidRPr="00F15F0B">
        <w:rPr>
          <w:rFonts w:asciiTheme="minorEastAsia" w:hAnsiTheme="minorEastAsia" w:cs="PingFang TC"/>
          <w:kern w:val="0"/>
          <w14:ligatures w14:val="none"/>
        </w:rPr>
        <w:t>徑</w:t>
      </w:r>
    </w:p>
    <w:p w14:paraId="0D17AEDC" w14:textId="77777777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三、亞歷山大學派的寓意傳統：俄利根（主後三世紀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）</w:t>
      </w:r>
    </w:p>
    <w:p w14:paraId="609BE96A" w14:textId="77777777" w:rsidR="00F15F0B" w:rsidRPr="00F15F0B" w:rsidRDefault="00F15F0B" w:rsidP="00F15F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俄利根的背景與特色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585669E3" w14:textId="77777777" w:rsidR="00F15F0B" w:rsidRPr="00F15F0B" w:rsidRDefault="00F15F0B" w:rsidP="00F15F0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嚴格禁慾主義者，被稱為「靈魂運動員</w:t>
      </w:r>
      <w:r w:rsidRPr="00F15F0B">
        <w:rPr>
          <w:rFonts w:asciiTheme="minorEastAsia" w:hAnsiTheme="minorEastAsia" w:cs="PingFang TC"/>
          <w:kern w:val="0"/>
          <w14:ligatures w14:val="none"/>
        </w:rPr>
        <w:t>」</w:t>
      </w:r>
    </w:p>
    <w:p w14:paraId="06291644" w14:textId="77777777" w:rsidR="00F15F0B" w:rsidRPr="00F15F0B" w:rsidRDefault="00F15F0B" w:rsidP="00F15F0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繼承亞歷山大寓意傳統，強調靈意讀</w:t>
      </w:r>
      <w:r w:rsidRPr="00F15F0B">
        <w:rPr>
          <w:rFonts w:asciiTheme="minorEastAsia" w:hAnsiTheme="minorEastAsia" w:cs="PingFang TC"/>
          <w:kern w:val="0"/>
          <w14:ligatures w14:val="none"/>
        </w:rPr>
        <w:t>經</w:t>
      </w:r>
    </w:p>
    <w:p w14:paraId="7147D849" w14:textId="77777777" w:rsidR="00F15F0B" w:rsidRPr="00F15F0B" w:rsidRDefault="00F15F0B" w:rsidP="00F15F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對《雅歌》的寓意解讀示例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6C416174" w14:textId="1FB71C34" w:rsidR="00F15F0B" w:rsidRPr="00F15F0B" w:rsidRDefault="00F15F0B" w:rsidP="00F15F0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lastRenderedPageBreak/>
        <w:t>雅歌</w:t>
      </w:r>
      <w:r w:rsidRPr="00F15F0B">
        <w:rPr>
          <w:rFonts w:asciiTheme="minorEastAsia" w:hAnsiTheme="minorEastAsia" w:cs="Times New Roman"/>
          <w:kern w:val="0"/>
          <w14:ligatures w14:val="none"/>
        </w:rPr>
        <w:t>1:2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「親嘴」：基督親近靈</w:t>
      </w:r>
      <w:r w:rsidRPr="00F15F0B">
        <w:rPr>
          <w:rFonts w:asciiTheme="minorEastAsia" w:hAnsiTheme="minorEastAsia" w:cs="PingFang TC"/>
          <w:kern w:val="0"/>
          <w14:ligatures w14:val="none"/>
        </w:rPr>
        <w:t>魂</w:t>
      </w:r>
    </w:p>
    <w:p w14:paraId="23447F6D" w14:textId="77777777" w:rsidR="00F15F0B" w:rsidRPr="00F15F0B" w:rsidRDefault="00F15F0B" w:rsidP="00F15F0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雅歌</w:t>
      </w:r>
      <w:r w:rsidRPr="00F15F0B">
        <w:rPr>
          <w:rFonts w:asciiTheme="minorEastAsia" w:hAnsiTheme="minorEastAsia" w:cs="Times New Roman"/>
          <w:kern w:val="0"/>
          <w14:ligatures w14:val="none"/>
        </w:rPr>
        <w:t>1:3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「香膏馨香」：聖靈灌</w:t>
      </w:r>
      <w:r w:rsidRPr="00F15F0B">
        <w:rPr>
          <w:rFonts w:asciiTheme="minorEastAsia" w:hAnsiTheme="minorEastAsia" w:cs="PingFang TC"/>
          <w:kern w:val="0"/>
          <w14:ligatures w14:val="none"/>
        </w:rPr>
        <w:t>注</w:t>
      </w:r>
    </w:p>
    <w:p w14:paraId="15D93BD0" w14:textId="77777777" w:rsidR="00F15F0B" w:rsidRPr="00F15F0B" w:rsidRDefault="00F15F0B" w:rsidP="00F15F0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雅歌</w:t>
      </w:r>
      <w:r w:rsidRPr="00F15F0B">
        <w:rPr>
          <w:rFonts w:asciiTheme="minorEastAsia" w:hAnsiTheme="minorEastAsia" w:cs="Times New Roman"/>
          <w:kern w:val="0"/>
          <w14:ligatures w14:val="none"/>
        </w:rPr>
        <w:t>1:5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「黑卻秀美」：教會受苦卻被揀</w:t>
      </w:r>
      <w:r w:rsidRPr="00F15F0B">
        <w:rPr>
          <w:rFonts w:asciiTheme="minorEastAsia" w:hAnsiTheme="minorEastAsia" w:cs="PingFang TC"/>
          <w:kern w:val="0"/>
          <w14:ligatures w14:val="none"/>
        </w:rPr>
        <w:t>選</w:t>
      </w:r>
    </w:p>
    <w:p w14:paraId="49D84B6A" w14:textId="77777777" w:rsidR="00F15F0B" w:rsidRPr="00F15F0B" w:rsidRDefault="00F15F0B" w:rsidP="00F15F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俄利根解經的準則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09D20BD6" w14:textId="77777777" w:rsidR="00F15F0B" w:rsidRPr="00F15F0B" w:rsidRDefault="00F15F0B" w:rsidP="00F15F0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字面若與理性或信仰核心衝突，則採取靈</w:t>
      </w:r>
      <w:r w:rsidRPr="00F15F0B">
        <w:rPr>
          <w:rFonts w:asciiTheme="minorEastAsia" w:hAnsiTheme="minorEastAsia" w:cs="PingFang TC"/>
          <w:kern w:val="0"/>
          <w14:ligatures w14:val="none"/>
        </w:rPr>
        <w:t>意</w:t>
      </w:r>
    </w:p>
    <w:p w14:paraId="1B2D9AB4" w14:textId="02CE5338" w:rsidR="00F15F0B" w:rsidRPr="00F15F0B" w:rsidRDefault="00F15F0B" w:rsidP="00F15F0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所有寓意解釋必須指向基督，建造靈</w:t>
      </w:r>
      <w:r w:rsidRPr="00F15F0B">
        <w:rPr>
          <w:rFonts w:asciiTheme="minorEastAsia" w:hAnsiTheme="minorEastAsia" w:cs="PingFang TC"/>
          <w:kern w:val="0"/>
          <w14:ligatures w14:val="none"/>
        </w:rPr>
        <w:t>命</w:t>
      </w:r>
    </w:p>
    <w:p w14:paraId="3F9498F3" w14:textId="0F355CEB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四、安提阿學派的字面</w:t>
      </w:r>
      <w:r w:rsidRPr="004F4F8E">
        <w:rPr>
          <w:rFonts w:asciiTheme="minorEastAsia" w:hAnsiTheme="minorEastAsia" w:cs="Times New Roman"/>
          <w:b/>
          <w:kern w:val="0"/>
          <w14:ligatures w14:val="none"/>
        </w:rPr>
        <w:t>-</w:t>
      </w: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歷史釋經（四世紀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）</w:t>
      </w:r>
    </w:p>
    <w:p w14:paraId="42BC668A" w14:textId="77777777" w:rsidR="00F15F0B" w:rsidRPr="00F15F0B" w:rsidRDefault="00F15F0B" w:rsidP="00F15F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代表人物：狄奧多若</w:t>
      </w:r>
      <w:r w:rsidRPr="00F15F0B">
        <w:rPr>
          <w:rFonts w:asciiTheme="minorEastAsia" w:hAnsiTheme="minorEastAsia" w:cs="Times New Roman"/>
          <w:kern w:val="0"/>
          <w14:ligatures w14:val="none"/>
        </w:rPr>
        <w:t>·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摩普雖提、金口約</w:t>
      </w:r>
      <w:r w:rsidRPr="00F15F0B">
        <w:rPr>
          <w:rFonts w:asciiTheme="minorEastAsia" w:hAnsiTheme="minorEastAsia" w:cs="PingFang TC"/>
          <w:kern w:val="0"/>
          <w14:ligatures w14:val="none"/>
        </w:rPr>
        <w:t>翰</w:t>
      </w:r>
    </w:p>
    <w:p w14:paraId="50B681D1" w14:textId="77777777" w:rsidR="00F15F0B" w:rsidRPr="00F15F0B" w:rsidRDefault="00F15F0B" w:rsidP="00F15F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釋經原則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049F05EC" w14:textId="77777777" w:rsidR="00F15F0B" w:rsidRPr="00F15F0B" w:rsidRDefault="00F15F0B" w:rsidP="00F15F0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強調經文的歷史語境為根基，寓意或靈意為後續應</w:t>
      </w:r>
      <w:r w:rsidRPr="00F15F0B">
        <w:rPr>
          <w:rFonts w:asciiTheme="minorEastAsia" w:hAnsiTheme="minorEastAsia" w:cs="PingFang TC"/>
          <w:kern w:val="0"/>
          <w14:ligatures w14:val="none"/>
        </w:rPr>
        <w:t>用</w:t>
      </w:r>
    </w:p>
    <w:p w14:paraId="63B2DDCA" w14:textId="77777777" w:rsidR="00F15F0B" w:rsidRPr="00F15F0B" w:rsidRDefault="00F15F0B" w:rsidP="00F15F0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雅歌作為具體的婚禮詩歌，不需強制寓意</w:t>
      </w:r>
      <w:r w:rsidRPr="00F15F0B">
        <w:rPr>
          <w:rFonts w:asciiTheme="minorEastAsia" w:hAnsiTheme="minorEastAsia" w:cs="PingFang TC"/>
          <w:kern w:val="0"/>
          <w14:ligatures w14:val="none"/>
        </w:rPr>
        <w:t>化</w:t>
      </w:r>
    </w:p>
    <w:p w14:paraId="5FF36AEB" w14:textId="77777777" w:rsidR="00F15F0B" w:rsidRPr="00F15F0B" w:rsidRDefault="00F15F0B" w:rsidP="00F15F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實例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18599FBA" w14:textId="77777777" w:rsidR="00F15F0B" w:rsidRPr="00F15F0B" w:rsidRDefault="00F15F0B" w:rsidP="00F15F0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狄奧多若對詩篇</w:t>
      </w:r>
      <w:r w:rsidRPr="00F15F0B">
        <w:rPr>
          <w:rFonts w:asciiTheme="minorEastAsia" w:hAnsiTheme="minorEastAsia" w:cs="Times New Roman"/>
          <w:kern w:val="0"/>
          <w14:ligatures w14:val="none"/>
        </w:rPr>
        <w:t>8:5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的解釋，先強調人類尊嚴，後因新約希伯來書引用而預表基</w:t>
      </w:r>
      <w:r w:rsidRPr="00F15F0B">
        <w:rPr>
          <w:rFonts w:asciiTheme="minorEastAsia" w:hAnsiTheme="minorEastAsia" w:cs="PingFang TC"/>
          <w:kern w:val="0"/>
          <w14:ligatures w14:val="none"/>
        </w:rPr>
        <w:t>督</w:t>
      </w:r>
    </w:p>
    <w:p w14:paraId="41515AB1" w14:textId="77777777" w:rsidR="00F15F0B" w:rsidRPr="00F15F0B" w:rsidRDefault="00F15F0B" w:rsidP="00F15F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歷史與修辭背景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69111403" w14:textId="77777777" w:rsidR="00F15F0B" w:rsidRPr="00F15F0B" w:rsidRDefault="00F15F0B" w:rsidP="00F15F0B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安提阿地區重視歷史記錄與希臘修辭學的教育背景，影響講壇風</w:t>
      </w:r>
      <w:r w:rsidRPr="00F15F0B">
        <w:rPr>
          <w:rFonts w:asciiTheme="minorEastAsia" w:hAnsiTheme="minorEastAsia" w:cs="PingFang TC"/>
          <w:kern w:val="0"/>
          <w14:ligatures w14:val="none"/>
        </w:rPr>
        <w:t>格</w:t>
      </w:r>
    </w:p>
    <w:p w14:paraId="4F399D84" w14:textId="77777777" w:rsidR="00F15F0B" w:rsidRPr="00F15F0B" w:rsidRDefault="00F15F0B" w:rsidP="00F15F0B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強調原初語境與作者原</w:t>
      </w:r>
      <w:r w:rsidRPr="00F15F0B">
        <w:rPr>
          <w:rFonts w:asciiTheme="minorEastAsia" w:hAnsiTheme="minorEastAsia" w:cs="PingFang TC"/>
          <w:kern w:val="0"/>
          <w14:ligatures w14:val="none"/>
        </w:rPr>
        <w:t>意</w:t>
      </w:r>
    </w:p>
    <w:p w14:paraId="705CB667" w14:textId="77777777" w:rsidR="00F15F0B" w:rsidRPr="00F15F0B" w:rsidRDefault="00F15F0B" w:rsidP="00F15F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安提阿</w:t>
      </w:r>
      <w:r w:rsidRPr="00F15F0B">
        <w:rPr>
          <w:rFonts w:asciiTheme="minorEastAsia" w:hAnsiTheme="minorEastAsia" w:cs="Times New Roman"/>
          <w:kern w:val="0"/>
          <w14:ligatures w14:val="none"/>
        </w:rPr>
        <w:t xml:space="preserve"> vs. 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亞歷山大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2FCE8B60" w14:textId="77777777" w:rsidR="00F15F0B" w:rsidRPr="00F15F0B" w:rsidRDefault="00F15F0B" w:rsidP="00F15F0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安提阿：先理解作者與原始聽眾的脈</w:t>
      </w:r>
      <w:r w:rsidRPr="00F15F0B">
        <w:rPr>
          <w:rFonts w:asciiTheme="minorEastAsia" w:hAnsiTheme="minorEastAsia" w:cs="PingFang TC"/>
          <w:kern w:val="0"/>
          <w14:ligatures w14:val="none"/>
        </w:rPr>
        <w:t>絡</w:t>
      </w:r>
    </w:p>
    <w:p w14:paraId="35F398DE" w14:textId="545FB5D5" w:rsidR="00F15F0B" w:rsidRPr="00F15F0B" w:rsidRDefault="00F15F0B" w:rsidP="00F15F0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亞歷山大：經文對靈魂的直接呼</w:t>
      </w:r>
      <w:r w:rsidRPr="00F15F0B">
        <w:rPr>
          <w:rFonts w:asciiTheme="minorEastAsia" w:hAnsiTheme="minorEastAsia" w:cs="PingFang TC"/>
          <w:kern w:val="0"/>
          <w14:ligatures w14:val="none"/>
        </w:rPr>
        <w:t>喚</w:t>
      </w:r>
    </w:p>
    <w:p w14:paraId="5D3C3B83" w14:textId="1243C936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五、奧古斯丁的</w:t>
      </w:r>
      <w:r w:rsidR="00137A8C" w:rsidRPr="004F4F8E">
        <w:rPr>
          <w:rFonts w:asciiTheme="minorEastAsia" w:hAnsiTheme="minorEastAsia" w:cs="PingFang TC" w:hint="eastAsia"/>
          <w:b/>
          <w:kern w:val="0"/>
          <w14:ligatures w14:val="none"/>
        </w:rPr>
        <w:t>「</w:t>
      </w: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信望愛</w:t>
      </w:r>
      <w:r w:rsidR="00137A8C" w:rsidRPr="004F4F8E">
        <w:rPr>
          <w:rFonts w:asciiTheme="minorEastAsia" w:hAnsiTheme="minorEastAsia" w:cs="PingFang TC" w:hint="eastAsia"/>
          <w:b/>
          <w:kern w:val="0"/>
          <w14:ligatures w14:val="none"/>
        </w:rPr>
        <w:t>」</w:t>
      </w: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釋經法（四到五世紀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）</w:t>
      </w:r>
    </w:p>
    <w:p w14:paraId="6AC3F9A3" w14:textId="77777777" w:rsidR="00F15F0B" w:rsidRPr="00F15F0B" w:rsidRDefault="00F15F0B" w:rsidP="00F15F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奧古斯丁面對兩個學派的影響，提出第三條準則：信、望、</w:t>
      </w:r>
      <w:r w:rsidRPr="00F15F0B">
        <w:rPr>
          <w:rFonts w:asciiTheme="minorEastAsia" w:hAnsiTheme="minorEastAsia" w:cs="PingFang TC"/>
          <w:kern w:val="0"/>
          <w14:ligatures w14:val="none"/>
        </w:rPr>
        <w:t>愛</w:t>
      </w:r>
    </w:p>
    <w:p w14:paraId="7B4CD560" w14:textId="77777777" w:rsidR="00F15F0B" w:rsidRPr="00F15F0B" w:rsidRDefault="00F15F0B" w:rsidP="00F15F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奧古斯丁的基本立場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4DA2CB0C" w14:textId="77777777" w:rsidR="00F15F0B" w:rsidRPr="00F15F0B" w:rsidRDefault="00F15F0B" w:rsidP="00F15F0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不停於歷史考據，也不任意靈意發揮，而以信心、盼望、愛心作為解經標</w:t>
      </w:r>
      <w:r w:rsidRPr="00F15F0B">
        <w:rPr>
          <w:rFonts w:asciiTheme="minorEastAsia" w:hAnsiTheme="minorEastAsia" w:cs="PingFang TC"/>
          <w:kern w:val="0"/>
          <w14:ligatures w14:val="none"/>
        </w:rPr>
        <w:t>準</w:t>
      </w:r>
    </w:p>
    <w:p w14:paraId="795458E8" w14:textId="77777777" w:rsidR="00F15F0B" w:rsidRPr="00F15F0B" w:rsidRDefault="00F15F0B" w:rsidP="00F15F0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重視解經結果對信徒生命更新的影</w:t>
      </w:r>
      <w:r w:rsidRPr="00F15F0B">
        <w:rPr>
          <w:rFonts w:asciiTheme="minorEastAsia" w:hAnsiTheme="minorEastAsia" w:cs="PingFang TC"/>
          <w:kern w:val="0"/>
          <w14:ligatures w14:val="none"/>
        </w:rPr>
        <w:t>響</w:t>
      </w:r>
    </w:p>
    <w:p w14:paraId="33E3BC69" w14:textId="77777777" w:rsidR="00F15F0B" w:rsidRPr="00F15F0B" w:rsidRDefault="00F15F0B" w:rsidP="00F15F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奧古斯丁的具體詮釋示例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42BFD2D9" w14:textId="77777777" w:rsidR="00F15F0B" w:rsidRPr="00F15F0B" w:rsidRDefault="00F15F0B" w:rsidP="00F15F0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「好撒瑪利亞人」比喻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5408AC57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lastRenderedPageBreak/>
        <w:t>耶路撒冷下到耶利哥的人：亞當（人類墮落</w:t>
      </w:r>
      <w:r w:rsidRPr="00F15F0B">
        <w:rPr>
          <w:rFonts w:asciiTheme="minorEastAsia" w:hAnsiTheme="minorEastAsia" w:cs="PingFang TC"/>
          <w:kern w:val="0"/>
          <w14:ligatures w14:val="none"/>
        </w:rPr>
        <w:t>）</w:t>
      </w:r>
    </w:p>
    <w:p w14:paraId="6BC879D1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強盜：撒</w:t>
      </w:r>
      <w:r w:rsidRPr="00F15F0B">
        <w:rPr>
          <w:rFonts w:asciiTheme="minorEastAsia" w:hAnsiTheme="minorEastAsia" w:cs="PingFang TC"/>
          <w:kern w:val="0"/>
          <w14:ligatures w14:val="none"/>
        </w:rPr>
        <w:t>但</w:t>
      </w:r>
    </w:p>
    <w:p w14:paraId="04F63C91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祭司與利未人：舊約律法的無力拯</w:t>
      </w:r>
      <w:r w:rsidRPr="00F15F0B">
        <w:rPr>
          <w:rFonts w:asciiTheme="minorEastAsia" w:hAnsiTheme="minorEastAsia" w:cs="PingFang TC"/>
          <w:kern w:val="0"/>
          <w14:ligatures w14:val="none"/>
        </w:rPr>
        <w:t>救</w:t>
      </w:r>
    </w:p>
    <w:p w14:paraId="757E40E4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撒瑪利亞人：基</w:t>
      </w:r>
      <w:r w:rsidRPr="00F15F0B">
        <w:rPr>
          <w:rFonts w:asciiTheme="minorEastAsia" w:hAnsiTheme="minorEastAsia" w:cs="PingFang TC"/>
          <w:kern w:val="0"/>
          <w14:ligatures w14:val="none"/>
        </w:rPr>
        <w:t>督</w:t>
      </w:r>
    </w:p>
    <w:p w14:paraId="078C7034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酒與油：聖</w:t>
      </w:r>
      <w:r w:rsidRPr="00F15F0B">
        <w:rPr>
          <w:rFonts w:asciiTheme="minorEastAsia" w:hAnsiTheme="minorEastAsia" w:cs="PingFang TC"/>
          <w:kern w:val="0"/>
          <w14:ligatures w14:val="none"/>
        </w:rPr>
        <w:t>靈</w:t>
      </w:r>
    </w:p>
    <w:p w14:paraId="31B93AA8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客店：教</w:t>
      </w:r>
      <w:r w:rsidRPr="00F15F0B">
        <w:rPr>
          <w:rFonts w:asciiTheme="minorEastAsia" w:hAnsiTheme="minorEastAsia" w:cs="PingFang TC"/>
          <w:kern w:val="0"/>
          <w14:ligatures w14:val="none"/>
        </w:rPr>
        <w:t>會</w:t>
      </w:r>
    </w:p>
    <w:p w14:paraId="2A0C089D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兩錢銀子：聖</w:t>
      </w:r>
      <w:r w:rsidRPr="00F15F0B">
        <w:rPr>
          <w:rFonts w:asciiTheme="minorEastAsia" w:hAnsiTheme="minorEastAsia" w:cs="PingFang TC"/>
          <w:kern w:val="0"/>
          <w14:ligatures w14:val="none"/>
        </w:rPr>
        <w:t>禮</w:t>
      </w:r>
    </w:p>
    <w:p w14:paraId="2AB330C0" w14:textId="77777777" w:rsidR="00F15F0B" w:rsidRPr="00F15F0B" w:rsidRDefault="00F15F0B" w:rsidP="00137A8C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《詩篇》</w:t>
      </w:r>
      <w:r w:rsidRPr="00F15F0B">
        <w:rPr>
          <w:rFonts w:asciiTheme="minorEastAsia" w:hAnsiTheme="minorEastAsia" w:cs="Times New Roman"/>
          <w:kern w:val="0"/>
          <w14:ligatures w14:val="none"/>
        </w:rPr>
        <w:t>42:1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3761F4B1" w14:textId="77777777" w:rsidR="00F15F0B" w:rsidRPr="00F15F0B" w:rsidRDefault="00F15F0B" w:rsidP="00F15F0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鹿切慕溪水：靈魂對上帝的聖潔渴</w:t>
      </w:r>
      <w:r w:rsidRPr="00F15F0B">
        <w:rPr>
          <w:rFonts w:asciiTheme="minorEastAsia" w:hAnsiTheme="minorEastAsia" w:cs="PingFang TC"/>
          <w:kern w:val="0"/>
          <w14:ligatures w14:val="none"/>
        </w:rPr>
        <w:t>望</w:t>
      </w:r>
    </w:p>
    <w:p w14:paraId="1E47E3F8" w14:textId="50FC71CA" w:rsidR="00137A8C" w:rsidRPr="00137A8C" w:rsidRDefault="00F15F0B" w:rsidP="00137A8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集體信徒群體對神的渴</w:t>
      </w:r>
      <w:r w:rsidRPr="00F15F0B">
        <w:rPr>
          <w:rFonts w:asciiTheme="minorEastAsia" w:hAnsiTheme="minorEastAsia" w:cs="PingFang TC"/>
          <w:kern w:val="0"/>
          <w14:ligatures w14:val="none"/>
        </w:rPr>
        <w:t>望</w:t>
      </w:r>
    </w:p>
    <w:p w14:paraId="273FC6B0" w14:textId="53154B32" w:rsidR="00F15F0B" w:rsidRPr="00F15F0B" w:rsidRDefault="00F15F0B" w:rsidP="00F15F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信望愛的核心檢驗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667AC481" w14:textId="674E67C0" w:rsidR="00F15F0B" w:rsidRPr="00F15F0B" w:rsidRDefault="00F15F0B" w:rsidP="00F15F0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解經必須促進人更愛神與鄰舍，而非知識驕</w:t>
      </w:r>
      <w:r w:rsidRPr="00F15F0B">
        <w:rPr>
          <w:rFonts w:asciiTheme="minorEastAsia" w:hAnsiTheme="minorEastAsia" w:cs="PingFang TC"/>
          <w:kern w:val="0"/>
          <w14:ligatures w14:val="none"/>
        </w:rPr>
        <w:t>傲</w:t>
      </w:r>
    </w:p>
    <w:p w14:paraId="0ED17464" w14:textId="77777777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六、宗教改革時期的歷史</w:t>
      </w:r>
      <w:r w:rsidRPr="004F4F8E">
        <w:rPr>
          <w:rFonts w:asciiTheme="minorEastAsia" w:hAnsiTheme="minorEastAsia" w:cs="Times New Roman"/>
          <w:b/>
          <w:kern w:val="0"/>
          <w14:ligatures w14:val="none"/>
        </w:rPr>
        <w:t>-</w:t>
      </w: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文法釋經法（十五世紀以後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）</w:t>
      </w:r>
    </w:p>
    <w:p w14:paraId="146AC68B" w14:textId="77777777" w:rsidR="00F15F0B" w:rsidRPr="00F15F0B" w:rsidRDefault="00F15F0B" w:rsidP="00F15F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宗教改革背景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5F4F8E66" w14:textId="77777777" w:rsidR="00F15F0B" w:rsidRPr="00F15F0B" w:rsidRDefault="00F15F0B" w:rsidP="00F15F0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文藝復興人文主義：回歸原文與古典文本，追求準確、真</w:t>
      </w:r>
      <w:r w:rsidRPr="00F15F0B">
        <w:rPr>
          <w:rFonts w:asciiTheme="minorEastAsia" w:hAnsiTheme="minorEastAsia" w:cs="PingFang TC"/>
          <w:kern w:val="0"/>
          <w14:ligatures w14:val="none"/>
        </w:rPr>
        <w:t>實</w:t>
      </w:r>
    </w:p>
    <w:p w14:paraId="0A16B8F9" w14:textId="77777777" w:rsidR="00F15F0B" w:rsidRPr="00F15F0B" w:rsidRDefault="00F15F0B" w:rsidP="00F15F0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反動於中世紀後期過度靈意化的傾</w:t>
      </w:r>
      <w:r w:rsidRPr="00F15F0B">
        <w:rPr>
          <w:rFonts w:asciiTheme="minorEastAsia" w:hAnsiTheme="minorEastAsia" w:cs="PingFang TC"/>
          <w:kern w:val="0"/>
          <w14:ligatures w14:val="none"/>
        </w:rPr>
        <w:t>向</w:t>
      </w:r>
    </w:p>
    <w:p w14:paraId="24C2DABC" w14:textId="77777777" w:rsidR="00F15F0B" w:rsidRPr="00F15F0B" w:rsidRDefault="00F15F0B" w:rsidP="00F15F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馬丁</w:t>
      </w:r>
      <w:r w:rsidRPr="00F15F0B">
        <w:rPr>
          <w:rFonts w:asciiTheme="minorEastAsia" w:hAnsiTheme="minorEastAsia" w:cs="Times New Roman"/>
          <w:kern w:val="0"/>
          <w14:ligatures w14:val="none"/>
        </w:rPr>
        <w:t>·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路德的釋經特點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624E3390" w14:textId="77777777" w:rsidR="00F15F0B" w:rsidRPr="00F15F0B" w:rsidRDefault="00F15F0B" w:rsidP="00F15F0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批判任意寓意解經，主張必須有文本歷史文法基礎與新約明確引</w:t>
      </w:r>
      <w:r w:rsidRPr="00F15F0B">
        <w:rPr>
          <w:rFonts w:asciiTheme="minorEastAsia" w:hAnsiTheme="minorEastAsia" w:cs="PingFang TC"/>
          <w:kern w:val="0"/>
          <w14:ligatures w14:val="none"/>
        </w:rPr>
        <w:t>用</w:t>
      </w:r>
    </w:p>
    <w:p w14:paraId="6D1D1046" w14:textId="77777777" w:rsidR="00F15F0B" w:rsidRPr="00F15F0B" w:rsidRDefault="00F15F0B" w:rsidP="00F15F0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強調「聖經明晰性」，但承認部分經文難</w:t>
      </w:r>
      <w:r w:rsidRPr="00F15F0B">
        <w:rPr>
          <w:rFonts w:asciiTheme="minorEastAsia" w:hAnsiTheme="minorEastAsia" w:cs="PingFang TC"/>
          <w:kern w:val="0"/>
          <w14:ligatures w14:val="none"/>
        </w:rPr>
        <w:t>解</w:t>
      </w:r>
    </w:p>
    <w:p w14:paraId="0F063C07" w14:textId="77777777" w:rsidR="00F15F0B" w:rsidRPr="00F15F0B" w:rsidRDefault="00F15F0B" w:rsidP="00F15F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約翰</w:t>
      </w:r>
      <w:r w:rsidRPr="00F15F0B">
        <w:rPr>
          <w:rFonts w:asciiTheme="minorEastAsia" w:hAnsiTheme="minorEastAsia" w:cs="Times New Roman"/>
          <w:kern w:val="0"/>
          <w14:ligatures w14:val="none"/>
        </w:rPr>
        <w:t>·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加爾文的系統性貢獻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7D398FE9" w14:textId="5195715F" w:rsidR="00F15F0B" w:rsidRPr="00F15F0B" w:rsidRDefault="00F15F0B" w:rsidP="00F15F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神的調降：上帝透過古代近東具體文化與歷史向人說</w:t>
      </w:r>
      <w:r w:rsidRPr="00F15F0B">
        <w:rPr>
          <w:rFonts w:asciiTheme="minorEastAsia" w:hAnsiTheme="minorEastAsia" w:cs="PingFang TC"/>
          <w:kern w:val="0"/>
          <w14:ligatures w14:val="none"/>
        </w:rPr>
        <w:t>話</w:t>
      </w:r>
    </w:p>
    <w:p w14:paraId="2452E6C4" w14:textId="77777777" w:rsidR="00F15F0B" w:rsidRPr="00F15F0B" w:rsidRDefault="00F15F0B" w:rsidP="00F15F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作者意圖：理解為原初讀者能接受的文本意義，而非作者內心動</w:t>
      </w:r>
      <w:r w:rsidRPr="00F15F0B">
        <w:rPr>
          <w:rFonts w:asciiTheme="minorEastAsia" w:hAnsiTheme="minorEastAsia" w:cs="PingFang TC"/>
          <w:kern w:val="0"/>
          <w14:ligatures w14:val="none"/>
        </w:rPr>
        <w:t>機</w:t>
      </w:r>
    </w:p>
    <w:p w14:paraId="1B6BB01E" w14:textId="6D2B26F2" w:rsidR="00F15F0B" w:rsidRPr="00F15F0B" w:rsidRDefault="00F15F0B" w:rsidP="00F15F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信仰的類比：釋經須與整體神學一致，但不忽略文本多樣</w:t>
      </w:r>
      <w:r w:rsidRPr="00F15F0B">
        <w:rPr>
          <w:rFonts w:asciiTheme="minorEastAsia" w:hAnsiTheme="minorEastAsia" w:cs="PingFang TC"/>
          <w:kern w:val="0"/>
          <w14:ligatures w14:val="none"/>
        </w:rPr>
        <w:t>性</w:t>
      </w:r>
    </w:p>
    <w:p w14:paraId="0D502A3F" w14:textId="77777777" w:rsidR="00F15F0B" w:rsidRPr="00F15F0B" w:rsidRDefault="00F15F0B" w:rsidP="00F15F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聖靈的光照：解經是靈性操練，需要聖靈指</w:t>
      </w:r>
      <w:r w:rsidRPr="00F15F0B">
        <w:rPr>
          <w:rFonts w:asciiTheme="minorEastAsia" w:hAnsiTheme="minorEastAsia" w:cs="PingFang TC"/>
          <w:kern w:val="0"/>
          <w14:ligatures w14:val="none"/>
        </w:rPr>
        <w:t>引</w:t>
      </w:r>
    </w:p>
    <w:p w14:paraId="577160F7" w14:textId="77777777" w:rsidR="00F15F0B" w:rsidRPr="00F15F0B" w:rsidRDefault="00F15F0B" w:rsidP="00F15F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加爾文的實例</w:t>
      </w:r>
      <w:r w:rsidRPr="00F15F0B">
        <w:rPr>
          <w:rFonts w:asciiTheme="minorEastAsia" w:hAnsiTheme="minorEastAsia" w:cs="PingFang TC"/>
          <w:kern w:val="0"/>
          <w14:ligatures w14:val="none"/>
        </w:rPr>
        <w:t>：</w:t>
      </w:r>
    </w:p>
    <w:p w14:paraId="6305CCC4" w14:textId="06F86C76" w:rsidR="00F15F0B" w:rsidRPr="00F15F0B" w:rsidRDefault="00F15F0B" w:rsidP="00F15F0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詩篇</w:t>
      </w:r>
      <w:r w:rsidRPr="00F15F0B">
        <w:rPr>
          <w:rFonts w:asciiTheme="minorEastAsia" w:hAnsiTheme="minorEastAsia" w:cs="Times New Roman"/>
          <w:kern w:val="0"/>
          <w14:ligatures w14:val="none"/>
        </w:rPr>
        <w:t>8</w:t>
      </w:r>
      <w:r w:rsidRPr="00F15F0B">
        <w:rPr>
          <w:rFonts w:asciiTheme="minorEastAsia" w:hAnsiTheme="minorEastAsia" w:cs="PingFang TC" w:hint="eastAsia"/>
          <w:kern w:val="0"/>
          <w14:ligatures w14:val="none"/>
        </w:rPr>
        <w:t>篇：先歷史文法解釋後，才在新約明確連結下進行基督論預表的詮</w:t>
      </w:r>
      <w:r w:rsidRPr="00F15F0B">
        <w:rPr>
          <w:rFonts w:asciiTheme="minorEastAsia" w:hAnsiTheme="minorEastAsia" w:cs="PingFang TC"/>
          <w:kern w:val="0"/>
          <w14:ligatures w14:val="none"/>
        </w:rPr>
        <w:t>釋</w:t>
      </w:r>
    </w:p>
    <w:p w14:paraId="708D54D1" w14:textId="77777777" w:rsidR="00F15F0B" w:rsidRPr="004F4F8E" w:rsidRDefault="00F15F0B" w:rsidP="00F15F0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kern w:val="0"/>
          <w14:ligatures w14:val="none"/>
        </w:rPr>
      </w:pPr>
      <w:r w:rsidRPr="004F4F8E">
        <w:rPr>
          <w:rFonts w:asciiTheme="minorEastAsia" w:hAnsiTheme="minorEastAsia" w:cs="PingFang TC" w:hint="eastAsia"/>
          <w:b/>
          <w:kern w:val="0"/>
          <w14:ligatures w14:val="none"/>
        </w:rPr>
        <w:t>七、總結與反</w:t>
      </w:r>
      <w:r w:rsidRPr="004F4F8E">
        <w:rPr>
          <w:rFonts w:asciiTheme="minorEastAsia" w:hAnsiTheme="minorEastAsia" w:cs="PingFang TC"/>
          <w:b/>
          <w:kern w:val="0"/>
          <w14:ligatures w14:val="none"/>
        </w:rPr>
        <w:t>思</w:t>
      </w:r>
    </w:p>
    <w:p w14:paraId="78FBB90E" w14:textId="77777777" w:rsidR="00F15F0B" w:rsidRPr="00F15F0B" w:rsidRDefault="00F15F0B" w:rsidP="00F15F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t>歷史中教父與學者提供的釋經道路對我們今日的影響與啟</w:t>
      </w:r>
      <w:r w:rsidRPr="00F15F0B">
        <w:rPr>
          <w:rFonts w:asciiTheme="minorEastAsia" w:hAnsiTheme="minorEastAsia" w:cs="PingFang TC"/>
          <w:kern w:val="0"/>
          <w14:ligatures w14:val="none"/>
        </w:rPr>
        <w:t>發</w:t>
      </w:r>
    </w:p>
    <w:p w14:paraId="3CA46748" w14:textId="5A19FA16" w:rsidR="00F15F0B" w:rsidRPr="0056549F" w:rsidRDefault="00F15F0B" w:rsidP="00F15F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F15F0B">
        <w:rPr>
          <w:rFonts w:asciiTheme="minorEastAsia" w:hAnsiTheme="minorEastAsia" w:cs="PingFang TC" w:hint="eastAsia"/>
          <w:kern w:val="0"/>
          <w14:ligatures w14:val="none"/>
        </w:rPr>
        <w:lastRenderedPageBreak/>
        <w:t>鼓勵現代讀者忠實於經文，承接釋經傳統並反省、深化現代的詮釋實</w:t>
      </w:r>
      <w:r w:rsidRPr="00F15F0B">
        <w:rPr>
          <w:rFonts w:asciiTheme="minorEastAsia" w:hAnsiTheme="minorEastAsia" w:cs="PingFang TC"/>
          <w:kern w:val="0"/>
          <w14:ligatures w14:val="none"/>
        </w:rPr>
        <w:t>踐</w:t>
      </w:r>
    </w:p>
    <w:sectPr w:rsidR="00F15F0B" w:rsidRPr="0056549F" w:rsidSect="00137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91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DDAF" w14:textId="77777777" w:rsidR="00246434" w:rsidRDefault="00246434" w:rsidP="00F15F0B">
      <w:pPr>
        <w:spacing w:after="0" w:line="240" w:lineRule="auto"/>
      </w:pPr>
      <w:r>
        <w:separator/>
      </w:r>
    </w:p>
  </w:endnote>
  <w:endnote w:type="continuationSeparator" w:id="0">
    <w:p w14:paraId="37382137" w14:textId="77777777" w:rsidR="00246434" w:rsidRDefault="00246434" w:rsidP="00F1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6847341"/>
      <w:docPartObj>
        <w:docPartGallery w:val="Page Numbers (Bottom of Page)"/>
        <w:docPartUnique/>
      </w:docPartObj>
    </w:sdtPr>
    <w:sdtContent>
      <w:p w14:paraId="68389C6C" w14:textId="4845836D" w:rsidR="00F15F0B" w:rsidRDefault="00F15F0B" w:rsidP="007E4A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FEBA2A" w14:textId="77777777" w:rsidR="00F15F0B" w:rsidRDefault="00F15F0B" w:rsidP="00F15F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22975700"/>
      <w:docPartObj>
        <w:docPartGallery w:val="Page Numbers (Bottom of Page)"/>
        <w:docPartUnique/>
      </w:docPartObj>
    </w:sdtPr>
    <w:sdtContent>
      <w:p w14:paraId="099BFB65" w14:textId="45EF1022" w:rsidR="00F15F0B" w:rsidRDefault="00F15F0B" w:rsidP="007E4A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ADC644" w14:textId="77777777" w:rsidR="00F15F0B" w:rsidRDefault="00F15F0B" w:rsidP="00F15F0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0EB9" w14:textId="77777777" w:rsidR="00224D93" w:rsidRDefault="00224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BFCD" w14:textId="77777777" w:rsidR="00246434" w:rsidRDefault="00246434" w:rsidP="00F15F0B">
      <w:pPr>
        <w:spacing w:after="0" w:line="240" w:lineRule="auto"/>
      </w:pPr>
      <w:r>
        <w:separator/>
      </w:r>
    </w:p>
  </w:footnote>
  <w:footnote w:type="continuationSeparator" w:id="0">
    <w:p w14:paraId="4C7940BB" w14:textId="77777777" w:rsidR="00246434" w:rsidRDefault="00246434" w:rsidP="00F1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2ECE" w14:textId="77777777" w:rsidR="00224D93" w:rsidRDefault="00224D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13EB" w14:textId="77777777" w:rsidR="00224D93" w:rsidRDefault="00224D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FC2C" w14:textId="77777777" w:rsidR="00224D93" w:rsidRDefault="00224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978"/>
    <w:multiLevelType w:val="multilevel"/>
    <w:tmpl w:val="EE6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114C7"/>
    <w:multiLevelType w:val="multilevel"/>
    <w:tmpl w:val="6892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8161E"/>
    <w:multiLevelType w:val="multilevel"/>
    <w:tmpl w:val="46A0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70E50"/>
    <w:multiLevelType w:val="multilevel"/>
    <w:tmpl w:val="4F4E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853CA"/>
    <w:multiLevelType w:val="multilevel"/>
    <w:tmpl w:val="E75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B10D1"/>
    <w:multiLevelType w:val="multilevel"/>
    <w:tmpl w:val="3DE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02145"/>
    <w:multiLevelType w:val="multilevel"/>
    <w:tmpl w:val="9116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E2A50"/>
    <w:multiLevelType w:val="multilevel"/>
    <w:tmpl w:val="3216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F34C9"/>
    <w:multiLevelType w:val="multilevel"/>
    <w:tmpl w:val="6BE2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479AE"/>
    <w:multiLevelType w:val="multilevel"/>
    <w:tmpl w:val="CC26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246C4"/>
    <w:multiLevelType w:val="multilevel"/>
    <w:tmpl w:val="CDF2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656FF"/>
    <w:multiLevelType w:val="hybridMultilevel"/>
    <w:tmpl w:val="99C21E5E"/>
    <w:lvl w:ilvl="0" w:tplc="543ABCE8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90B1548"/>
    <w:multiLevelType w:val="multilevel"/>
    <w:tmpl w:val="53BC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B31AB2"/>
    <w:multiLevelType w:val="multilevel"/>
    <w:tmpl w:val="EE72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123C5"/>
    <w:multiLevelType w:val="multilevel"/>
    <w:tmpl w:val="0F8E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B6411"/>
    <w:multiLevelType w:val="multilevel"/>
    <w:tmpl w:val="E3AA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91746"/>
    <w:multiLevelType w:val="multilevel"/>
    <w:tmpl w:val="DFE2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6A0374"/>
    <w:multiLevelType w:val="multilevel"/>
    <w:tmpl w:val="A9A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8129DE"/>
    <w:multiLevelType w:val="multilevel"/>
    <w:tmpl w:val="BC4E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85FC9"/>
    <w:multiLevelType w:val="multilevel"/>
    <w:tmpl w:val="CC66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E7278"/>
    <w:multiLevelType w:val="multilevel"/>
    <w:tmpl w:val="64D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21003"/>
    <w:multiLevelType w:val="multilevel"/>
    <w:tmpl w:val="6BDC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7842F7"/>
    <w:multiLevelType w:val="hybridMultilevel"/>
    <w:tmpl w:val="74AAFC1E"/>
    <w:lvl w:ilvl="0" w:tplc="543ABCE8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9DC6F11"/>
    <w:multiLevelType w:val="multilevel"/>
    <w:tmpl w:val="1246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72CA2"/>
    <w:multiLevelType w:val="multilevel"/>
    <w:tmpl w:val="450E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D968B1"/>
    <w:multiLevelType w:val="multilevel"/>
    <w:tmpl w:val="43F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206039"/>
    <w:multiLevelType w:val="multilevel"/>
    <w:tmpl w:val="8B82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A649C"/>
    <w:multiLevelType w:val="multilevel"/>
    <w:tmpl w:val="B796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"/>
      <w:lvlJc w:val="left"/>
      <w:pPr>
        <w:ind w:left="1560" w:hanging="48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771387">
    <w:abstractNumId w:val="20"/>
  </w:num>
  <w:num w:numId="2" w16cid:durableId="1162234912">
    <w:abstractNumId w:val="19"/>
  </w:num>
  <w:num w:numId="3" w16cid:durableId="1563103474">
    <w:abstractNumId w:val="12"/>
  </w:num>
  <w:num w:numId="4" w16cid:durableId="110903349">
    <w:abstractNumId w:val="18"/>
  </w:num>
  <w:num w:numId="5" w16cid:durableId="1922333123">
    <w:abstractNumId w:val="25"/>
  </w:num>
  <w:num w:numId="6" w16cid:durableId="557981081">
    <w:abstractNumId w:val="26"/>
  </w:num>
  <w:num w:numId="7" w16cid:durableId="1088379681">
    <w:abstractNumId w:val="8"/>
  </w:num>
  <w:num w:numId="8" w16cid:durableId="51200632">
    <w:abstractNumId w:val="21"/>
  </w:num>
  <w:num w:numId="9" w16cid:durableId="188954050">
    <w:abstractNumId w:val="7"/>
  </w:num>
  <w:num w:numId="10" w16cid:durableId="869807510">
    <w:abstractNumId w:val="4"/>
  </w:num>
  <w:num w:numId="11" w16cid:durableId="1229417301">
    <w:abstractNumId w:val="22"/>
  </w:num>
  <w:num w:numId="12" w16cid:durableId="289674068">
    <w:abstractNumId w:val="11"/>
  </w:num>
  <w:num w:numId="13" w16cid:durableId="1190997564">
    <w:abstractNumId w:val="0"/>
  </w:num>
  <w:num w:numId="14" w16cid:durableId="412045108">
    <w:abstractNumId w:val="17"/>
  </w:num>
  <w:num w:numId="15" w16cid:durableId="1368213533">
    <w:abstractNumId w:val="1"/>
  </w:num>
  <w:num w:numId="16" w16cid:durableId="1602298397">
    <w:abstractNumId w:val="13"/>
  </w:num>
  <w:num w:numId="17" w16cid:durableId="1651396632">
    <w:abstractNumId w:val="9"/>
  </w:num>
  <w:num w:numId="18" w16cid:durableId="2093357707">
    <w:abstractNumId w:val="16"/>
  </w:num>
  <w:num w:numId="19" w16cid:durableId="1725446832">
    <w:abstractNumId w:val="5"/>
  </w:num>
  <w:num w:numId="20" w16cid:durableId="2113741598">
    <w:abstractNumId w:val="27"/>
  </w:num>
  <w:num w:numId="21" w16cid:durableId="742412736">
    <w:abstractNumId w:val="23"/>
  </w:num>
  <w:num w:numId="22" w16cid:durableId="2105565906">
    <w:abstractNumId w:val="10"/>
  </w:num>
  <w:num w:numId="23" w16cid:durableId="471675792">
    <w:abstractNumId w:val="6"/>
  </w:num>
  <w:num w:numId="24" w16cid:durableId="580064466">
    <w:abstractNumId w:val="15"/>
  </w:num>
  <w:num w:numId="25" w16cid:durableId="892011267">
    <w:abstractNumId w:val="3"/>
  </w:num>
  <w:num w:numId="26" w16cid:durableId="1102071419">
    <w:abstractNumId w:val="2"/>
  </w:num>
  <w:num w:numId="27" w16cid:durableId="1932739541">
    <w:abstractNumId w:val="14"/>
  </w:num>
  <w:num w:numId="28" w16cid:durableId="18841711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0B"/>
    <w:rsid w:val="0003737A"/>
    <w:rsid w:val="00125EB7"/>
    <w:rsid w:val="00137A8C"/>
    <w:rsid w:val="001B5A44"/>
    <w:rsid w:val="002164DA"/>
    <w:rsid w:val="00224D93"/>
    <w:rsid w:val="002337C0"/>
    <w:rsid w:val="00246434"/>
    <w:rsid w:val="004F4F8E"/>
    <w:rsid w:val="0056549F"/>
    <w:rsid w:val="005D435A"/>
    <w:rsid w:val="00791FB6"/>
    <w:rsid w:val="00DC2ACF"/>
    <w:rsid w:val="00E56B36"/>
    <w:rsid w:val="00EB3F2B"/>
    <w:rsid w:val="00F15F0B"/>
    <w:rsid w:val="00FC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8D6C"/>
  <w15:chartTrackingRefBased/>
  <w15:docId w15:val="{213C3205-6765-8340-8BB8-F4BC369C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F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5F0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F0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F0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F0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F0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F0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F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15F0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F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F0B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F0B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F0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F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F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F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F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F0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1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F1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5F0B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15F0B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15F0B"/>
  </w:style>
  <w:style w:type="paragraph" w:styleId="Header">
    <w:name w:val="header"/>
    <w:basedOn w:val="Normal"/>
    <w:link w:val="HeaderChar"/>
    <w:uiPriority w:val="99"/>
    <w:unhideWhenUsed/>
    <w:rsid w:val="00224D93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24D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11</cp:revision>
  <dcterms:created xsi:type="dcterms:W3CDTF">2025-06-17T09:28:00Z</dcterms:created>
  <dcterms:modified xsi:type="dcterms:W3CDTF">2026-06-10T06:49:00Z</dcterms:modified>
</cp:coreProperties>
</file>