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12CF049C" w14:textId="5EAA06AF" w:rsidR="001B5A44" w:rsidRPr="00072ECD" w:rsidRDefault="00072ECD">
      <w:pPr>
        <w:rPr>
          <w:rFonts w:asciiTheme="minorEastAsia" w:hAnsiTheme="minorEastAsia"/>
        </w:rPr>
      </w:pPr>
      <w:r w:rsidRPr="00072ECD">
        <w:rPr>
          <w:rFonts w:asciiTheme="minorEastAsia" w:hAnsiTheme="minorEastAsia" w:hint="eastAsia"/>
        </w:rPr>
        <w:t>釋經學第七講講義</w:t>
      </w:r>
    </w:p>
    <w:p w14:paraId="1AD93C7D" w14:textId="5987D08F" w:rsidR="00072ECD" w:rsidRPr="00CF6E99" w:rsidRDefault="00072ECD">
      <w:pPr>
        <w:rPr>
          <w:rFonts w:asciiTheme="minorEastAsia" w:hAnsiTheme="minorEastAsia"/>
          <w:b/>
          <w:bCs/>
        </w:rPr>
      </w:pPr>
      <w:r w:rsidRPr="00CF6E99">
        <w:rPr>
          <w:rFonts w:asciiTheme="minorEastAsia" w:hAnsiTheme="minorEastAsia" w:hint="eastAsia"/>
          <w:b/>
          <w:bCs/>
        </w:rPr>
        <w:t>不同的聖經翻譯差別在哪？</w:t>
      </w:r>
    </w:p>
    <w:p w14:paraId="0DC17AC3" w14:textId="66F7B488" w:rsidR="00072ECD" w:rsidRPr="00072ECD" w:rsidRDefault="00072ECD" w:rsidP="00072ECD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072ECD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一、為什麼要讀不同</w:t>
      </w: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的</w:t>
      </w:r>
      <w:r w:rsidRPr="00072ECD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譯本</w:t>
      </w:r>
      <w:r w:rsidRPr="00072ECD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？</w:t>
      </w:r>
    </w:p>
    <w:p w14:paraId="528F35D9" w14:textId="4CE84F20" w:rsidR="00072ECD" w:rsidRPr="00072ECD" w:rsidRDefault="00072ECD" w:rsidP="00072ECD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不同譯本有不同的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翻譯「</w:t>
      </w: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目的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」與「</w:t>
      </w: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原則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072ECD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B11A9B6" w14:textId="77777777" w:rsidR="00072ECD" w:rsidRPr="00072ECD" w:rsidRDefault="00072ECD" w:rsidP="00072ECD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讀不同譯本，不是為了論斷對錯，而是從差異中推敲需要研究與查考的地方</w:t>
      </w:r>
      <w:r w:rsidRPr="00072ECD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FA889D3" w14:textId="77777777" w:rsidR="00072ECD" w:rsidRPr="00072ECD" w:rsidRDefault="00072ECD" w:rsidP="00072ECD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任何譯本都不是原文的完美複製品，翻譯必然牽涉語言、文化、語氣與詮釋</w:t>
      </w:r>
      <w:r w:rsidRPr="00072ECD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FBC5446" w14:textId="62D8D4C2" w:rsidR="00072ECD" w:rsidRPr="00072ECD" w:rsidRDefault="00072ECD" w:rsidP="00072ECD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例子：哥林多前書</w:t>
      </w:r>
      <w:r w:rsidRPr="00072ECD">
        <w:rPr>
          <w:rFonts w:asciiTheme="minorEastAsia" w:hAnsiTheme="minorEastAsia" w:cs="Times New Roman"/>
          <w:kern w:val="0"/>
          <w:lang w:bidi="he-IL"/>
          <w14:ligatures w14:val="none"/>
        </w:rPr>
        <w:t>7:1</w:t>
      </w:r>
    </w:p>
    <w:p w14:paraId="46F9B521" w14:textId="25E6D1B3" w:rsidR="00072ECD" w:rsidRPr="00072ECD" w:rsidRDefault="00072ECD" w:rsidP="00072ECD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>
        <w:rPr>
          <w:rFonts w:asciiTheme="minorEastAsia" w:hAnsiTheme="minorEastAsia" w:cs="PingFang TC"/>
          <w:kern w:val="0"/>
          <w:lang w:val="en-US" w:bidi="he-IL"/>
          <w14:ligatures w14:val="none"/>
        </w:rPr>
        <w:t>-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《</w:t>
      </w: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和合本</w:t>
      </w:r>
      <w:r>
        <w:rPr>
          <w:rFonts w:ascii="Cambria Math" w:hAnsi="Cambria Math" w:cs="Cambria Math" w:hint="eastAsia"/>
          <w:kern w:val="0"/>
          <w:lang w:bidi="he-IL"/>
          <w14:ligatures w14:val="none"/>
        </w:rPr>
        <w:t>》</w:t>
      </w: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《</w:t>
      </w: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現代中文譯本</w:t>
      </w:r>
      <w:r>
        <w:rPr>
          <w:rFonts w:ascii="Cambria Math" w:hAnsi="Cambria Math" w:cs="Cambria Math" w:hint="eastAsia"/>
          <w:kern w:val="0"/>
          <w:lang w:bidi="he-IL"/>
          <w14:ligatures w14:val="none"/>
        </w:rPr>
        <w:t>》</w:t>
      </w: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《</w:t>
      </w: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呂振中譯本</w:t>
      </w:r>
      <w:r>
        <w:rPr>
          <w:rFonts w:ascii="Cambria Math" w:hAnsi="Cambria Math" w:cs="Cambria Math" w:hint="eastAsia"/>
          <w:kern w:val="0"/>
          <w:lang w:bidi="he-IL"/>
          <w14:ligatures w14:val="none"/>
        </w:rPr>
        <w:t>》</w:t>
      </w: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對林前</w:t>
      </w:r>
      <w:r w:rsidRPr="00072ECD">
        <w:rPr>
          <w:rFonts w:asciiTheme="minorEastAsia" w:hAnsiTheme="minorEastAsia" w:cs="Times New Roman"/>
          <w:kern w:val="0"/>
          <w:lang w:bidi="he-IL"/>
          <w14:ligatures w14:val="none"/>
        </w:rPr>
        <w:t>7:1</w:t>
      </w: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有不同翻譯</w:t>
      </w:r>
      <w:r w:rsidRPr="00072ECD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4A69990" w14:textId="2307789A" w:rsidR="00072ECD" w:rsidRPr="00072ECD" w:rsidRDefault="00072ECD" w:rsidP="00072ECD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>
        <w:rPr>
          <w:rFonts w:asciiTheme="minorEastAsia" w:hAnsiTheme="minorEastAsia" w:cs="PingFang TC"/>
          <w:kern w:val="0"/>
          <w:lang w:bidi="he-IL"/>
          <w14:ligatures w14:val="none"/>
        </w:rPr>
        <w:t>-</w:t>
      </w: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「男不近女倒好」很可能不是保羅自己的觀點，而是哥林多教會在信上提出的觀點</w:t>
      </w:r>
      <w:r w:rsidRPr="00072ECD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65E1CB4" w14:textId="53E79AB9" w:rsidR="00072ECD" w:rsidRDefault="00072ECD" w:rsidP="00072ECD">
      <w:pPr>
        <w:spacing w:before="100" w:beforeAutospacing="1" w:after="100" w:afterAutospacing="1" w:line="240" w:lineRule="auto"/>
        <w:rPr>
          <w:rFonts w:asciiTheme="minorEastAsia" w:hAnsiTheme="minorEastAsia" w:cs="PingFang TC"/>
          <w:kern w:val="0"/>
          <w:lang w:bidi="he-IL"/>
          <w14:ligatures w14:val="none"/>
        </w:rPr>
      </w:pPr>
      <w:r>
        <w:rPr>
          <w:rFonts w:asciiTheme="minorEastAsia" w:hAnsiTheme="minorEastAsia" w:cs="PingFang TC"/>
          <w:kern w:val="0"/>
          <w:lang w:bidi="he-IL"/>
          <w14:ligatures w14:val="none"/>
        </w:rPr>
        <w:t xml:space="preserve">- </w:t>
      </w: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保羅在</w:t>
      </w:r>
      <w:r w:rsidRPr="00072ECD">
        <w:rPr>
          <w:rFonts w:asciiTheme="minorEastAsia" w:hAnsiTheme="minorEastAsia" w:cs="Times New Roman"/>
          <w:kern w:val="0"/>
          <w:lang w:bidi="he-IL"/>
          <w14:ligatures w14:val="none"/>
        </w:rPr>
        <w:t>7:2</w:t>
      </w: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的重點，是將性關係規範在婚姻裡，以避免淫亂</w:t>
      </w:r>
      <w:r w:rsidRPr="00072ECD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BABD7E0" w14:textId="77777777" w:rsidR="00072ECD" w:rsidRDefault="00072ECD" w:rsidP="00072ECD">
      <w:pPr>
        <w:spacing w:before="100" w:beforeAutospacing="1" w:after="100" w:afterAutospacing="1" w:line="240" w:lineRule="auto"/>
        <w:rPr>
          <w:rFonts w:asciiTheme="minorEastAsia" w:hAnsiTheme="minorEastAsia" w:cs="PingFang TC"/>
          <w:kern w:val="0"/>
          <w:lang w:bidi="he-IL"/>
          <w14:ligatures w14:val="none"/>
        </w:rPr>
      </w:pPr>
    </w:p>
    <w:p w14:paraId="644525F2" w14:textId="49A7210D" w:rsidR="00072ECD" w:rsidRPr="00072ECD" w:rsidRDefault="00072ECD" w:rsidP="00072ECD">
      <w:pPr>
        <w:spacing w:before="100" w:beforeAutospacing="1" w:after="100" w:afterAutospacing="1" w:line="240" w:lineRule="auto"/>
        <w:rPr>
          <w:rFonts w:asciiTheme="minorEastAsia" w:hAnsiTheme="minorEastAsia" w:cs="Times New Roman" w:hint="eastAsia"/>
          <w:b/>
          <w:bCs/>
          <w:kern w:val="0"/>
          <w:lang w:bidi="he-IL"/>
          <w14:ligatures w14:val="none"/>
        </w:rPr>
      </w:pPr>
      <w:r w:rsidRPr="00072ECD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聖經翻譯的幾種模式：</w:t>
      </w:r>
    </w:p>
    <w:p w14:paraId="537FF4BD" w14:textId="5A2C3B5E" w:rsidR="00072ECD" w:rsidRPr="00072ECD" w:rsidRDefault="00072ECD" w:rsidP="00072ECD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color w:val="C00000"/>
          <w:kern w:val="0"/>
          <w:lang w:bidi="he-IL"/>
          <w14:ligatures w14:val="none"/>
        </w:rPr>
      </w:pPr>
      <w:r w:rsidRPr="00072ECD">
        <w:rPr>
          <w:rFonts w:asciiTheme="minorEastAsia" w:hAnsiTheme="minorEastAsia" w:cs="PingFang TC" w:hint="eastAsia"/>
          <w:b/>
          <w:bCs/>
          <w:color w:val="C00000"/>
          <w:kern w:val="0"/>
          <w:lang w:bidi="he-IL"/>
          <w14:ligatures w14:val="none"/>
        </w:rPr>
        <w:t>形式對</w:t>
      </w:r>
      <w:r w:rsidRPr="00072ECD">
        <w:rPr>
          <w:rFonts w:asciiTheme="minorEastAsia" w:hAnsiTheme="minorEastAsia" w:cs="PingFang TC"/>
          <w:b/>
          <w:bCs/>
          <w:color w:val="C00000"/>
          <w:kern w:val="0"/>
          <w:lang w:bidi="he-IL"/>
          <w14:ligatures w14:val="none"/>
        </w:rPr>
        <w:t>等</w:t>
      </w:r>
      <w:r>
        <w:rPr>
          <w:rFonts w:asciiTheme="minorEastAsia" w:hAnsiTheme="minorEastAsia" w:cs="PingFang TC" w:hint="eastAsia"/>
          <w:b/>
          <w:bCs/>
          <w:color w:val="C00000"/>
          <w:kern w:val="0"/>
          <w:lang w:bidi="he-IL"/>
          <w14:ligatures w14:val="none"/>
        </w:rPr>
        <w:t>（</w:t>
      </w:r>
      <w:r>
        <w:rPr>
          <w:rFonts w:asciiTheme="minorEastAsia" w:hAnsiTheme="minorEastAsia" w:cs="PingFang TC"/>
          <w:b/>
          <w:bCs/>
          <w:color w:val="C00000"/>
          <w:kern w:val="0"/>
          <w:lang w:val="en-US" w:bidi="he-IL"/>
          <w14:ligatures w14:val="none"/>
        </w:rPr>
        <w:t>Formal Equivalence</w:t>
      </w:r>
      <w:r>
        <w:rPr>
          <w:rFonts w:asciiTheme="minorEastAsia" w:hAnsiTheme="minorEastAsia" w:cs="PingFang TC" w:hint="eastAsia"/>
          <w:b/>
          <w:bCs/>
          <w:color w:val="C00000"/>
          <w:kern w:val="0"/>
          <w:lang w:bidi="he-IL"/>
          <w14:ligatures w14:val="none"/>
        </w:rPr>
        <w:t>）</w:t>
      </w:r>
    </w:p>
    <w:p w14:paraId="6EDCDE35" w14:textId="5D435256" w:rsidR="00072ECD" w:rsidRPr="00072ECD" w:rsidRDefault="00072ECD" w:rsidP="00072ECD">
      <w:pPr>
        <w:spacing w:before="100" w:beforeAutospacing="1" w:after="100" w:afterAutospacing="1" w:line="240" w:lineRule="auto"/>
        <w:rPr>
          <w:rFonts w:asciiTheme="minorEastAsia" w:hAnsiTheme="minorEastAsia" w:cs="Times New Roman" w:hint="eastAsia"/>
          <w:kern w:val="0"/>
          <w:lang w:val="en-US" w:bidi="he-IL"/>
          <w14:ligatures w14:val="none"/>
        </w:rPr>
      </w:pP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形式對等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盡量保留原文的結構、語序、詞彙與句型</w:t>
      </w:r>
      <w:r>
        <w:rPr>
          <w:rFonts w:asciiTheme="minorEastAsia" w:hAnsiTheme="minorEastAsia" w:cs="PingFang TC" w:hint="eastAsia"/>
          <w:kern w:val="0"/>
          <w:lang w:val="en-US" w:bidi="he-IL"/>
          <w14:ligatures w14:val="none"/>
        </w:rPr>
        <w:t>，接近「字面直譯」。</w:t>
      </w:r>
    </w:p>
    <w:p w14:paraId="2A459882" w14:textId="77777777" w:rsidR="00072ECD" w:rsidRPr="00072ECD" w:rsidRDefault="00072ECD" w:rsidP="00072ECD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72ECD">
        <w:rPr>
          <w:rFonts w:asciiTheme="minorEastAsia" w:hAnsiTheme="minorEastAsia" w:cs="PingFang TC" w:hint="eastAsia"/>
          <w:kern w:val="0"/>
          <w:u w:val="single"/>
          <w:lang w:bidi="he-IL"/>
          <w14:ligatures w14:val="none"/>
        </w:rPr>
        <w:t>優點</w:t>
      </w: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是能讓讀者一窺原文結構，對查經與學習原文有幫助</w:t>
      </w:r>
      <w:r w:rsidRPr="00072ECD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AF87371" w14:textId="77777777" w:rsidR="00072ECD" w:rsidRPr="00072ECD" w:rsidRDefault="00072ECD" w:rsidP="00072ECD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72ECD">
        <w:rPr>
          <w:rFonts w:asciiTheme="minorEastAsia" w:hAnsiTheme="minorEastAsia" w:cs="PingFang TC" w:hint="eastAsia"/>
          <w:kern w:val="0"/>
          <w:u w:val="single"/>
          <w:lang w:bidi="he-IL"/>
          <w14:ligatures w14:val="none"/>
        </w:rPr>
        <w:t>限制</w:t>
      </w: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是譯文可能生硬、不自然，甚至晦澀難懂</w:t>
      </w:r>
      <w:r w:rsidRPr="00072ECD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8718314" w14:textId="77777777" w:rsidR="00072ECD" w:rsidRPr="00072ECD" w:rsidRDefault="00072ECD" w:rsidP="00072ECD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例子：羅馬書</w:t>
      </w:r>
      <w:r w:rsidRPr="00072ECD">
        <w:rPr>
          <w:rFonts w:asciiTheme="minorEastAsia" w:hAnsiTheme="minorEastAsia" w:cs="Times New Roman"/>
          <w:kern w:val="0"/>
          <w:lang w:bidi="he-IL"/>
          <w14:ligatures w14:val="none"/>
        </w:rPr>
        <w:t>6:17</w:t>
      </w:r>
    </w:p>
    <w:p w14:paraId="75BE659D" w14:textId="01E17816" w:rsidR="00072ECD" w:rsidRPr="00072ECD" w:rsidRDefault="00072ECD" w:rsidP="00072ECD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color w:val="C00000"/>
          <w:kern w:val="0"/>
          <w:lang w:bidi="he-IL"/>
          <w14:ligatures w14:val="none"/>
        </w:rPr>
      </w:pPr>
      <w:r w:rsidRPr="00072ECD">
        <w:rPr>
          <w:rFonts w:asciiTheme="minorEastAsia" w:hAnsiTheme="minorEastAsia" w:cs="PingFang TC" w:hint="eastAsia"/>
          <w:b/>
          <w:bCs/>
          <w:color w:val="C00000"/>
          <w:kern w:val="0"/>
          <w:lang w:bidi="he-IL"/>
          <w14:ligatures w14:val="none"/>
        </w:rPr>
        <w:t>動態／功能對</w:t>
      </w:r>
      <w:r w:rsidRPr="00072ECD">
        <w:rPr>
          <w:rFonts w:asciiTheme="minorEastAsia" w:hAnsiTheme="minorEastAsia" w:cs="PingFang TC"/>
          <w:b/>
          <w:bCs/>
          <w:color w:val="C00000"/>
          <w:kern w:val="0"/>
          <w:lang w:bidi="he-IL"/>
          <w14:ligatures w14:val="none"/>
        </w:rPr>
        <w:t>等</w:t>
      </w:r>
      <w:r>
        <w:rPr>
          <w:rFonts w:asciiTheme="minorEastAsia" w:hAnsiTheme="minorEastAsia" w:cs="PingFang TC" w:hint="eastAsia"/>
          <w:b/>
          <w:bCs/>
          <w:color w:val="C00000"/>
          <w:kern w:val="0"/>
          <w:lang w:bidi="he-IL"/>
          <w14:ligatures w14:val="none"/>
        </w:rPr>
        <w:t>（</w:t>
      </w:r>
      <w:r>
        <w:rPr>
          <w:rFonts w:asciiTheme="minorEastAsia" w:hAnsiTheme="minorEastAsia" w:cs="PingFang TC"/>
          <w:b/>
          <w:bCs/>
          <w:color w:val="C00000"/>
          <w:kern w:val="0"/>
          <w:lang w:val="en-US" w:bidi="he-IL"/>
          <w14:ligatures w14:val="none"/>
        </w:rPr>
        <w:t>Functional Equivalence</w:t>
      </w:r>
      <w:r>
        <w:rPr>
          <w:rFonts w:asciiTheme="minorEastAsia" w:hAnsiTheme="minorEastAsia" w:cs="PingFang TC" w:hint="eastAsia"/>
          <w:b/>
          <w:bCs/>
          <w:color w:val="C00000"/>
          <w:kern w:val="0"/>
          <w:lang w:bidi="he-IL"/>
          <w14:ligatures w14:val="none"/>
        </w:rPr>
        <w:t>）</w:t>
      </w:r>
    </w:p>
    <w:p w14:paraId="244D1F97" w14:textId="4AAB97B0" w:rsidR="00072ECD" w:rsidRPr="00072ECD" w:rsidRDefault="00072ECD" w:rsidP="00072ECD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動態對等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重視譯文是否能產生接近原文的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效果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072ECD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DC19861" w14:textId="4881DB50" w:rsidR="00072ECD" w:rsidRPr="00072ECD" w:rsidRDefault="00072ECD" w:rsidP="00072ECD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尤金</w:t>
      </w:r>
      <w:r>
        <w:rPr>
          <w:rFonts w:ascii="Cambria Math" w:hAnsi="Cambria Math" w:cs="Cambria Math" w:hint="eastAsia"/>
          <w:kern w:val="0"/>
          <w:lang w:bidi="he-IL"/>
          <w14:ligatures w14:val="none"/>
        </w:rPr>
        <w:t>・</w:t>
      </w: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奈達強調「等效反應」，譯者不只是語言轉換者，也是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文化橋樑的建造者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072ECD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6FFA7BD" w14:textId="77777777" w:rsidR="00072ECD" w:rsidRPr="00072ECD" w:rsidRDefault="00072ECD" w:rsidP="00072ECD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限制是可能過分強調可讀性，犧牲原文的神學細節</w:t>
      </w:r>
      <w:r w:rsidRPr="00072ECD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8D2EA15" w14:textId="77777777" w:rsidR="00072ECD" w:rsidRPr="00072ECD" w:rsidRDefault="00072ECD" w:rsidP="00072ECD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例子：馬太福音</w:t>
      </w:r>
      <w:r w:rsidRPr="00072ECD">
        <w:rPr>
          <w:rFonts w:asciiTheme="minorEastAsia" w:hAnsiTheme="minorEastAsia" w:cs="Times New Roman"/>
          <w:kern w:val="0"/>
          <w:lang w:bidi="he-IL"/>
          <w14:ligatures w14:val="none"/>
        </w:rPr>
        <w:t>5:3</w:t>
      </w: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；羅馬書</w:t>
      </w:r>
      <w:r w:rsidRPr="00072ECD">
        <w:rPr>
          <w:rFonts w:asciiTheme="minorEastAsia" w:hAnsiTheme="minorEastAsia" w:cs="Times New Roman"/>
          <w:kern w:val="0"/>
          <w:lang w:bidi="he-IL"/>
          <w14:ligatures w14:val="none"/>
        </w:rPr>
        <w:t>1:17</w:t>
      </w:r>
    </w:p>
    <w:p w14:paraId="2E6AFB1A" w14:textId="26444932" w:rsidR="00072ECD" w:rsidRPr="00072ECD" w:rsidRDefault="00072ECD" w:rsidP="00072ECD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color w:val="C00000"/>
          <w:kern w:val="0"/>
          <w:lang w:bidi="he-IL"/>
          <w14:ligatures w14:val="none"/>
        </w:rPr>
      </w:pPr>
      <w:r w:rsidRPr="00072ECD">
        <w:rPr>
          <w:rFonts w:asciiTheme="minorEastAsia" w:hAnsiTheme="minorEastAsia" w:cs="PingFang TC" w:hint="eastAsia"/>
          <w:b/>
          <w:bCs/>
          <w:color w:val="C00000"/>
          <w:kern w:val="0"/>
          <w:lang w:bidi="he-IL"/>
          <w14:ligatures w14:val="none"/>
        </w:rPr>
        <w:lastRenderedPageBreak/>
        <w:t>目的</w:t>
      </w:r>
      <w:r w:rsidRPr="00072ECD">
        <w:rPr>
          <w:rFonts w:asciiTheme="minorEastAsia" w:hAnsiTheme="minorEastAsia" w:cs="PingFang TC"/>
          <w:b/>
          <w:bCs/>
          <w:color w:val="C00000"/>
          <w:kern w:val="0"/>
          <w:lang w:bidi="he-IL"/>
          <w14:ligatures w14:val="none"/>
        </w:rPr>
        <w:t>論</w:t>
      </w:r>
      <w:r>
        <w:rPr>
          <w:rFonts w:asciiTheme="minorEastAsia" w:hAnsiTheme="minorEastAsia" w:cs="PingFang TC" w:hint="eastAsia"/>
          <w:b/>
          <w:bCs/>
          <w:color w:val="C00000"/>
          <w:kern w:val="0"/>
          <w:lang w:bidi="he-IL"/>
          <w14:ligatures w14:val="none"/>
        </w:rPr>
        <w:t>（</w:t>
      </w:r>
      <w:r>
        <w:rPr>
          <w:rFonts w:asciiTheme="minorEastAsia" w:hAnsiTheme="minorEastAsia" w:cs="PingFang TC"/>
          <w:b/>
          <w:bCs/>
          <w:color w:val="C00000"/>
          <w:kern w:val="0"/>
          <w:lang w:val="en-US" w:bidi="he-IL"/>
          <w14:ligatures w14:val="none"/>
        </w:rPr>
        <w:t>Scopos Theory</w:t>
      </w:r>
      <w:r>
        <w:rPr>
          <w:rFonts w:asciiTheme="minorEastAsia" w:hAnsiTheme="minorEastAsia" w:cs="PingFang TC" w:hint="eastAsia"/>
          <w:b/>
          <w:bCs/>
          <w:color w:val="C00000"/>
          <w:kern w:val="0"/>
          <w:lang w:bidi="he-IL"/>
          <w14:ligatures w14:val="none"/>
        </w:rPr>
        <w:t>）</w:t>
      </w:r>
    </w:p>
    <w:p w14:paraId="592FD542" w14:textId="4D5F3F4C" w:rsidR="00072ECD" w:rsidRPr="00072ECD" w:rsidRDefault="00072ECD" w:rsidP="00072ECD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目的論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強調：</w:t>
      </w:r>
      <w:r w:rsidRPr="00072ECD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翻譯的目的決定翻譯的策略</w:t>
      </w:r>
      <w:r w:rsidRPr="00072ECD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B152364" w14:textId="77777777" w:rsidR="00072ECD" w:rsidRPr="00072ECD" w:rsidRDefault="00072ECD" w:rsidP="00072ECD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評價一本譯本，要問它是為誰翻的、要用在什麼場合、目的是什麼</w:t>
      </w:r>
      <w:r w:rsidRPr="00072ECD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4FB61B6" w14:textId="77777777" w:rsidR="00072ECD" w:rsidRPr="00072ECD" w:rsidRDefault="00072ECD" w:rsidP="00072ECD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沒有最忠實、最正確的譯本，只有</w:t>
      </w:r>
      <w:r w:rsidRPr="00072ECD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最適合目的</w:t>
      </w: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的譯本</w:t>
      </w:r>
      <w:r w:rsidRPr="00072ECD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DBBD236" w14:textId="77777777" w:rsidR="00072ECD" w:rsidRDefault="00072ECD" w:rsidP="00072ECD">
      <w:pPr>
        <w:spacing w:before="100" w:beforeAutospacing="1" w:after="100" w:afterAutospacing="1" w:line="240" w:lineRule="auto"/>
        <w:outlineLvl w:val="1"/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</w:pPr>
    </w:p>
    <w:p w14:paraId="0AE0474E" w14:textId="38E3297F" w:rsidR="00072ECD" w:rsidRPr="00072ECD" w:rsidRDefault="00072ECD" w:rsidP="00072ECD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072ECD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本講結</w:t>
      </w:r>
      <w:r w:rsidRPr="00072ECD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論</w:t>
      </w:r>
    </w:p>
    <w:p w14:paraId="591C3A0D" w14:textId="77777777" w:rsidR="00072ECD" w:rsidRPr="00072ECD" w:rsidRDefault="00072ECD" w:rsidP="00072ECD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不同聖經譯本有不同翻譯策略與語言風格</w:t>
      </w:r>
      <w:r w:rsidRPr="00072ECD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AEBDFD6" w14:textId="77777777" w:rsidR="00072ECD" w:rsidRPr="00072ECD" w:rsidRDefault="00072ECD" w:rsidP="00072ECD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若長期只讀同一個版本，可以嘗試閱讀很不一樣的版本，帶來思想上的刺激</w:t>
      </w:r>
      <w:r w:rsidRPr="00072ECD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5F6E9C9" w14:textId="77777777" w:rsidR="00072ECD" w:rsidRPr="00072ECD" w:rsidRDefault="00072ECD" w:rsidP="00072ECD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72ECD">
        <w:rPr>
          <w:rFonts w:asciiTheme="minorEastAsia" w:hAnsiTheme="minorEastAsia" w:cs="PingFang TC" w:hint="eastAsia"/>
          <w:kern w:val="0"/>
          <w:lang w:bidi="he-IL"/>
          <w14:ligatures w14:val="none"/>
        </w:rPr>
        <w:t>當我們向未信者或孩子講解聖經時，也是在參與聖經翻譯與詮釋的工作</w:t>
      </w:r>
      <w:r w:rsidRPr="00072ECD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F1B9DE1" w14:textId="77777777" w:rsidR="00072ECD" w:rsidRPr="00072ECD" w:rsidRDefault="00072ECD">
      <w:pPr>
        <w:rPr>
          <w:rFonts w:asciiTheme="minorEastAsia" w:hAnsiTheme="minorEastAsia" w:hint="eastAsia"/>
        </w:rPr>
      </w:pPr>
    </w:p>
    <w:sectPr w:rsidR="00072ECD" w:rsidRPr="00072E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9C1B3" w14:textId="77777777" w:rsidR="00135747" w:rsidRDefault="00135747" w:rsidP="00072ECD">
      <w:pPr>
        <w:spacing w:after="0" w:line="240" w:lineRule="auto"/>
      </w:pPr>
      <w:r>
        <w:separator/>
      </w:r>
    </w:p>
  </w:endnote>
  <w:endnote w:type="continuationSeparator" w:id="0">
    <w:p w14:paraId="2CB13224" w14:textId="77777777" w:rsidR="00135747" w:rsidRDefault="00135747" w:rsidP="00072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35998128"/>
      <w:docPartObj>
        <w:docPartGallery w:val="Page Numbers (Bottom of Page)"/>
        <w:docPartUnique/>
      </w:docPartObj>
    </w:sdtPr>
    <w:sdtContent>
      <w:p w14:paraId="5BDD8EC4" w14:textId="638300B5" w:rsidR="00072ECD" w:rsidRDefault="00072ECD" w:rsidP="00DA52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9CD85C6" w14:textId="77777777" w:rsidR="00072ECD" w:rsidRDefault="00072ECD" w:rsidP="00072EC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7335805"/>
      <w:docPartObj>
        <w:docPartGallery w:val="Page Numbers (Bottom of Page)"/>
        <w:docPartUnique/>
      </w:docPartObj>
    </w:sdtPr>
    <w:sdtContent>
      <w:p w14:paraId="32A2EB1D" w14:textId="7F8F9A54" w:rsidR="00072ECD" w:rsidRDefault="00072ECD" w:rsidP="00DA52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1B55791" w14:textId="77777777" w:rsidR="00072ECD" w:rsidRDefault="00072ECD" w:rsidP="00072ECD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DC111" w14:textId="77777777" w:rsidR="00072ECD" w:rsidRDefault="00072E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FAB99" w14:textId="77777777" w:rsidR="00135747" w:rsidRDefault="00135747" w:rsidP="00072ECD">
      <w:pPr>
        <w:spacing w:after="0" w:line="240" w:lineRule="auto"/>
      </w:pPr>
      <w:r>
        <w:separator/>
      </w:r>
    </w:p>
  </w:footnote>
  <w:footnote w:type="continuationSeparator" w:id="0">
    <w:p w14:paraId="2DC95E1D" w14:textId="77777777" w:rsidR="00135747" w:rsidRDefault="00135747" w:rsidP="00072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E229E" w14:textId="77777777" w:rsidR="00072ECD" w:rsidRDefault="00072E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460FC" w14:textId="77777777" w:rsidR="00072ECD" w:rsidRDefault="00072E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1B1CC" w14:textId="77777777" w:rsidR="00072ECD" w:rsidRDefault="00072E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C12CC"/>
    <w:multiLevelType w:val="hybridMultilevel"/>
    <w:tmpl w:val="8D44CB1C"/>
    <w:lvl w:ilvl="0" w:tplc="64F47E5E">
      <w:start w:val="1"/>
      <w:numFmt w:val="bullet"/>
      <w:lvlText w:val=""/>
      <w:lvlJc w:val="left"/>
      <w:pPr>
        <w:ind w:left="96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3DA82286"/>
    <w:multiLevelType w:val="hybridMultilevel"/>
    <w:tmpl w:val="4EA6927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A3138F9"/>
    <w:multiLevelType w:val="hybridMultilevel"/>
    <w:tmpl w:val="D968F75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394695810">
    <w:abstractNumId w:val="2"/>
  </w:num>
  <w:num w:numId="2" w16cid:durableId="684476647">
    <w:abstractNumId w:val="0"/>
  </w:num>
  <w:num w:numId="3" w16cid:durableId="325329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ECD"/>
    <w:rsid w:val="00072ECD"/>
    <w:rsid w:val="00135747"/>
    <w:rsid w:val="001B5A44"/>
    <w:rsid w:val="002164DA"/>
    <w:rsid w:val="002337C0"/>
    <w:rsid w:val="00343F9B"/>
    <w:rsid w:val="005D435A"/>
    <w:rsid w:val="00CF6E99"/>
    <w:rsid w:val="00D2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8A890"/>
  <w15:chartTrackingRefBased/>
  <w15:docId w15:val="{686CA298-5DA6-9A47-8B3E-2541793B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EC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2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2ECD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2ECD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2E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2EC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2EC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2EC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2EC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2EC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72E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2ECD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2E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2E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2ECD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2E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2ECD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2E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2EC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2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2EC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2E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2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2E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2E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2E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2E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2E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2EC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he-I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72ECD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72ECD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72ECD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72ECD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072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350</Words>
  <Characters>359</Characters>
  <Application>Microsoft Office Word</Application>
  <DocSecurity>0</DocSecurity>
  <Lines>10</Lines>
  <Paragraphs>5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長暉 張</dc:creator>
  <cp:keywords/>
  <dc:description/>
  <cp:lastModifiedBy>長暉 張</cp:lastModifiedBy>
  <cp:revision>5</cp:revision>
  <dcterms:created xsi:type="dcterms:W3CDTF">2026-06-24T07:02:00Z</dcterms:created>
  <dcterms:modified xsi:type="dcterms:W3CDTF">2026-06-24T07:13:00Z</dcterms:modified>
</cp:coreProperties>
</file>